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A10B" w14:textId="77777777" w:rsidR="00F1471B" w:rsidRDefault="00F1471B" w:rsidP="00F1471B">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                                                                        Age of Cathedrals</w:t>
      </w:r>
    </w:p>
    <w:p w14:paraId="71E8EA1A"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                                                                         R. Howard Bloch</w:t>
      </w:r>
    </w:p>
    <w:p w14:paraId="0F69CFC0"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                                                                          Aaron Kestle, TF</w:t>
      </w:r>
    </w:p>
    <w:p w14:paraId="6953A63B"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                                                                 Paris, July 2-August 6, 2022</w:t>
      </w:r>
    </w:p>
    <w:p w14:paraId="491D0917"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                                               Humanities S267, French S305, Literature S176</w:t>
      </w:r>
    </w:p>
    <w:p w14:paraId="79F28128"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You should do the reading for each week before our Tuesday meeting when the worksheet is due. The first week is an exception, though here too you are encouraged to do the first week’s reading before Tuesday.</w:t>
      </w:r>
    </w:p>
    <w:p w14:paraId="6751D882"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We will meet for class on Tuesdays and Thursdays 1:15-4:15 p.m., 18 rue de Varenne, Paris 6e, metro Sèvres-Babylone (door code 04735). We will meet for excursions on Wednesdays, and on the first Friday of the course. Please be on time for class and for excursions. Do not bring your computer to class unless it is for the purpose of making a presentation. Absolutely no eating in the classroom. If you want to eat between 1:15 and 4:15, please do so during our break, and do not bring food into our sacred learning space, but leave it outside on the table in the hall.</w:t>
      </w:r>
    </w:p>
    <w:p w14:paraId="49EBF288"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 indicates reading available on Canvas server under Files.</w:t>
      </w:r>
    </w:p>
    <w:p w14:paraId="7BC4162E" w14:textId="77777777" w:rsidR="00F1471B" w:rsidRDefault="00F1471B" w:rsidP="00F1471B">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Week 1 Saint-Denis</w:t>
      </w:r>
    </w:p>
    <w:p w14:paraId="2C93ED8E"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Reading: </w:t>
      </w:r>
      <w:r>
        <w:rPr>
          <w:rStyle w:val="Emphasis"/>
          <w:rFonts w:ascii="Lato" w:hAnsi="Lato"/>
          <w:color w:val="2D3B45"/>
        </w:rPr>
        <w:t>What was Done under his Administration</w:t>
      </w:r>
      <w:r>
        <w:rPr>
          <w:rFonts w:ascii="Lato" w:hAnsi="Lato"/>
          <w:color w:val="2D3B45"/>
        </w:rPr>
        <w:t>; </w:t>
      </w:r>
      <w:r>
        <w:rPr>
          <w:rStyle w:val="Emphasis"/>
          <w:rFonts w:ascii="Lato" w:hAnsi="Lato"/>
          <w:color w:val="2D3B45"/>
        </w:rPr>
        <w:t>The Consecration of the Church of Saint-Denis</w:t>
      </w:r>
      <w:r>
        <w:rPr>
          <w:rFonts w:ascii="Lato" w:hAnsi="Lato"/>
          <w:color w:val="2D3B45"/>
        </w:rPr>
        <w:t>. *Pseudo-Dionysius, </w:t>
      </w:r>
      <w:r>
        <w:rPr>
          <w:rStyle w:val="Emphasis"/>
          <w:rFonts w:ascii="Lato" w:hAnsi="Lato"/>
          <w:color w:val="2D3B45"/>
        </w:rPr>
        <w:t>Celestial Hierarchies</w:t>
      </w:r>
      <w:r>
        <w:rPr>
          <w:rFonts w:ascii="Lato" w:hAnsi="Lato"/>
          <w:color w:val="2D3B45"/>
        </w:rPr>
        <w:t>; *Jacques de Voragine, “Genealogy of Christ.”</w:t>
      </w:r>
    </w:p>
    <w:p w14:paraId="420D2A64"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Tuesday, July 5, Class Orientation and </w:t>
      </w:r>
      <w:r>
        <w:rPr>
          <w:rStyle w:val="Strong"/>
          <w:rFonts w:ascii="Lato" w:hAnsi="Lato"/>
          <w:color w:val="2D3B45"/>
        </w:rPr>
        <w:t>Introduction</w:t>
      </w:r>
    </w:p>
    <w:p w14:paraId="0E2014F3"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Wednesday, July 6, Saint-Denis. Departure from Saint Johns (time TBA).  Return mid-afternoon.</w:t>
      </w:r>
    </w:p>
    <w:p w14:paraId="7FD060DA"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Thursday, July 7 Class, Worksheet #1 due before class.</w:t>
      </w:r>
    </w:p>
    <w:p w14:paraId="78207C55"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Friday, July 8, Cité de l’architecture, 1 place du Trocadéro, Paris 1e, metro Trocadéro, 10:30 a.m.  Return early afternoon..</w:t>
      </w:r>
    </w:p>
    <w:p w14:paraId="114ED3E0" w14:textId="77777777" w:rsidR="00F1471B" w:rsidRDefault="00F1471B" w:rsidP="00F1471B">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 Week 2</w:t>
      </w:r>
      <w:r>
        <w:rPr>
          <w:rFonts w:ascii="Lato" w:hAnsi="Lato"/>
          <w:color w:val="2D3B45"/>
        </w:rPr>
        <w:t> </w:t>
      </w:r>
      <w:r>
        <w:rPr>
          <w:rStyle w:val="Strong"/>
          <w:rFonts w:ascii="Lato" w:hAnsi="Lato"/>
          <w:color w:val="2D3B45"/>
        </w:rPr>
        <w:t>Notre-Dame de Paris and Amiens</w:t>
      </w:r>
    </w:p>
    <w:p w14:paraId="1822E9C1"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Reading: Abelard’s </w:t>
      </w:r>
      <w:r>
        <w:rPr>
          <w:rStyle w:val="Emphasis"/>
          <w:rFonts w:ascii="Lato" w:hAnsi="Lato"/>
          <w:color w:val="2D3B45"/>
        </w:rPr>
        <w:t>History of my Misfortunes</w:t>
      </w:r>
      <w:r>
        <w:rPr>
          <w:rFonts w:ascii="Lato" w:hAnsi="Lato"/>
          <w:color w:val="2D3B45"/>
        </w:rPr>
        <w:t>, the </w:t>
      </w:r>
      <w:r>
        <w:rPr>
          <w:rStyle w:val="Emphasis"/>
          <w:rFonts w:ascii="Lato" w:hAnsi="Lato"/>
          <w:color w:val="2D3B45"/>
        </w:rPr>
        <w:t>Personal Letters of Abelard and Heloise</w:t>
      </w:r>
      <w:r>
        <w:rPr>
          <w:rFonts w:ascii="Lato" w:hAnsi="Lato"/>
          <w:color w:val="2D3B45"/>
        </w:rPr>
        <w:t>; *Rutebeuf’s “Miracle of Theophilus”; *fabliaux; *Marie de France, </w:t>
      </w:r>
      <w:r>
        <w:rPr>
          <w:rStyle w:val="Emphasis"/>
          <w:rFonts w:ascii="Lato" w:hAnsi="Lato"/>
          <w:color w:val="2D3B45"/>
        </w:rPr>
        <w:t>Fables</w:t>
      </w:r>
      <w:r>
        <w:rPr>
          <w:rFonts w:ascii="Lato" w:hAnsi="Lato"/>
          <w:color w:val="2D3B45"/>
        </w:rPr>
        <w:t>; *Adam d’Arras, “Play of Madness.”</w:t>
      </w:r>
    </w:p>
    <w:p w14:paraId="0E6E5F7E"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Tuesday, July 12, Class, Worksheet #2 due before class</w:t>
      </w:r>
    </w:p>
    <w:p w14:paraId="3B52181A"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Wednesday, July 13, Visit to Amiens, train from the Gare du Nord at 10:30, return to Paris at 6:30.</w:t>
      </w:r>
    </w:p>
    <w:p w14:paraId="5773612E"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Thursday, July 14, Class</w:t>
      </w:r>
    </w:p>
    <w:p w14:paraId="00640359"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 </w:t>
      </w:r>
      <w:r>
        <w:rPr>
          <w:rStyle w:val="Strong"/>
          <w:rFonts w:ascii="Lato" w:hAnsi="Lato"/>
          <w:color w:val="2D3B45"/>
        </w:rPr>
        <w:t>Week 3 Chartres</w:t>
      </w:r>
    </w:p>
    <w:p w14:paraId="17E11473"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Reading: </w:t>
      </w:r>
      <w:r>
        <w:rPr>
          <w:rStyle w:val="Emphasis"/>
          <w:rFonts w:ascii="Lato" w:hAnsi="Lato"/>
          <w:color w:val="2D3B45"/>
        </w:rPr>
        <w:t>*Miracles of Notre-Dame of Chartres</w:t>
      </w:r>
      <w:r>
        <w:rPr>
          <w:rFonts w:ascii="Lato" w:hAnsi="Lato"/>
          <w:color w:val="2D3B45"/>
        </w:rPr>
        <w:t> by Jean le Marchand; *Marie de France,* “Prologue” to the </w:t>
      </w:r>
      <w:r>
        <w:rPr>
          <w:rStyle w:val="Emphasis"/>
          <w:rFonts w:ascii="Lato" w:hAnsi="Lato"/>
          <w:color w:val="2D3B45"/>
        </w:rPr>
        <w:t>Lais</w:t>
      </w:r>
      <w:r>
        <w:rPr>
          <w:rFonts w:ascii="Lato" w:hAnsi="Lato"/>
          <w:color w:val="2D3B45"/>
        </w:rPr>
        <w:t> and lai of “Lanval; *</w:t>
      </w:r>
      <w:r>
        <w:rPr>
          <w:rStyle w:val="Emphasis"/>
          <w:rFonts w:ascii="Lato" w:hAnsi="Lato"/>
          <w:color w:val="2D3B45"/>
        </w:rPr>
        <w:t>The Song of Roland</w:t>
      </w:r>
      <w:r>
        <w:rPr>
          <w:rFonts w:ascii="Lato" w:hAnsi="Lato"/>
          <w:color w:val="2D3B45"/>
        </w:rPr>
        <w:t>; *</w:t>
      </w:r>
      <w:r>
        <w:rPr>
          <w:rStyle w:val="Emphasis"/>
          <w:rFonts w:ascii="Lato" w:hAnsi="Lato"/>
          <w:color w:val="2D3B45"/>
        </w:rPr>
        <w:t>Pseudo-Turpin</w:t>
      </w:r>
      <w:r>
        <w:rPr>
          <w:rFonts w:ascii="Lato" w:hAnsi="Lato"/>
          <w:color w:val="2D3B45"/>
        </w:rPr>
        <w:t>; *</w:t>
      </w:r>
      <w:r>
        <w:rPr>
          <w:rStyle w:val="Emphasis"/>
          <w:rFonts w:ascii="Lato" w:hAnsi="Lato"/>
          <w:color w:val="2D3B45"/>
        </w:rPr>
        <w:t>Pilgrimage of Charlemagne</w:t>
      </w:r>
      <w:r>
        <w:rPr>
          <w:rFonts w:ascii="Lato" w:hAnsi="Lato"/>
          <w:color w:val="2D3B45"/>
        </w:rPr>
        <w:t>.</w:t>
      </w:r>
    </w:p>
    <w:p w14:paraId="30DA2C36"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Tuesday, July 19 Class, Worksheet #3 due before class.</w:t>
      </w:r>
    </w:p>
    <w:p w14:paraId="3CDEF0CF"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Wednesday, July 20, Chartres depart 8:09 a.m., Gare Montparnasse.  Return ca. 5:00 p.m.</w:t>
      </w:r>
    </w:p>
    <w:p w14:paraId="4FC91568"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Thursday, July 21, Class, Music at the Sainte-Chapelle, 8:00 p.m.</w:t>
      </w:r>
    </w:p>
    <w:p w14:paraId="7047194F" w14:textId="77777777" w:rsidR="00F1471B" w:rsidRDefault="00F1471B" w:rsidP="00F1471B">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 Week 4 Sainte-Chapelle</w:t>
      </w:r>
    </w:p>
    <w:p w14:paraId="72A2E66E"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Reading: Joinville’s </w:t>
      </w:r>
      <w:r>
        <w:rPr>
          <w:rStyle w:val="Emphasis"/>
          <w:rFonts w:ascii="Lato" w:hAnsi="Lato"/>
          <w:color w:val="2D3B45"/>
        </w:rPr>
        <w:t>Life of Saint-Louis</w:t>
      </w:r>
      <w:r>
        <w:rPr>
          <w:rFonts w:ascii="Lato" w:hAnsi="Lato"/>
          <w:color w:val="2D3B45"/>
        </w:rPr>
        <w:t>; *Thibaut de Champagne, Lyrics; Guibert de Nogent, </w:t>
      </w:r>
      <w:r>
        <w:rPr>
          <w:rStyle w:val="Emphasis"/>
          <w:rFonts w:ascii="Lato" w:hAnsi="Lato"/>
          <w:color w:val="2D3B45"/>
        </w:rPr>
        <w:t>Monodies</w:t>
      </w:r>
      <w:r>
        <w:rPr>
          <w:rFonts w:ascii="Lato" w:hAnsi="Lato"/>
          <w:color w:val="2D3B45"/>
        </w:rPr>
        <w:t> (Books 1 and 2).</w:t>
      </w:r>
    </w:p>
    <w:p w14:paraId="6E6EF82E"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Tuesday, July 26, Class, Worksheet #4 due before class.</w:t>
      </w:r>
    </w:p>
    <w:p w14:paraId="3233DE0B"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Wednesday, July 27, Sainte-Chapelle, meet 8 Blvd. du Palais, Paris 1e, 10:00.  Return early afternoon.</w:t>
      </w:r>
    </w:p>
    <w:p w14:paraId="0ADA240A"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Thursday, July 28, Class</w:t>
      </w:r>
    </w:p>
    <w:p w14:paraId="6DA55784" w14:textId="77777777" w:rsidR="00F1471B" w:rsidRDefault="00F1471B" w:rsidP="00F1471B">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 Week 5 Cistercian Piety, Monasticism, and Reims</w:t>
      </w:r>
    </w:p>
    <w:p w14:paraId="7B1B5285"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Reading: </w:t>
      </w:r>
      <w:r>
        <w:rPr>
          <w:rStyle w:val="Emphasis"/>
          <w:rFonts w:ascii="Lato" w:hAnsi="Lato"/>
          <w:color w:val="2D3B45"/>
        </w:rPr>
        <w:t>Quest of the Holy Grail</w:t>
      </w:r>
      <w:r>
        <w:rPr>
          <w:rFonts w:ascii="Lato" w:hAnsi="Lato"/>
          <w:color w:val="2D3B45"/>
        </w:rPr>
        <w:t>; Saint Bernard, </w:t>
      </w:r>
      <w:r>
        <w:rPr>
          <w:rStyle w:val="Emphasis"/>
          <w:rFonts w:ascii="Lato" w:hAnsi="Lato"/>
          <w:color w:val="2D3B45"/>
        </w:rPr>
        <w:t>Apologia for Abbot William</w:t>
      </w:r>
      <w:r>
        <w:rPr>
          <w:rFonts w:ascii="Lato" w:hAnsi="Lato"/>
          <w:color w:val="2D3B45"/>
        </w:rPr>
        <w:t> (</w:t>
      </w:r>
      <w:r>
        <w:rPr>
          <w:rStyle w:val="Emphasis"/>
          <w:rFonts w:ascii="Lato" w:hAnsi="Lato"/>
          <w:color w:val="2D3B45"/>
        </w:rPr>
        <w:t>Cistercian World</w:t>
      </w:r>
      <w:r>
        <w:rPr>
          <w:rFonts w:ascii="Lato" w:hAnsi="Lato"/>
          <w:color w:val="2D3B45"/>
        </w:rPr>
        <w:t>, pp. 42-57),</w:t>
      </w:r>
      <w:r>
        <w:rPr>
          <w:rStyle w:val="Emphasis"/>
          <w:rFonts w:ascii="Lato" w:hAnsi="Lato"/>
          <w:color w:val="2D3B45"/>
        </w:rPr>
        <w:t> Three Sermons on the Song of Songs</w:t>
      </w:r>
      <w:r>
        <w:rPr>
          <w:rFonts w:ascii="Lato" w:hAnsi="Lato"/>
          <w:color w:val="2D3B45"/>
        </w:rPr>
        <w:t> (pp. 65-83); William of St. Thierry, </w:t>
      </w:r>
      <w:r>
        <w:rPr>
          <w:rStyle w:val="Emphasis"/>
          <w:rFonts w:ascii="Lato" w:hAnsi="Lato"/>
          <w:color w:val="2D3B45"/>
        </w:rPr>
        <w:t>Three Meditations</w:t>
      </w:r>
      <w:r>
        <w:rPr>
          <w:rFonts w:ascii="Lato" w:hAnsi="Lato"/>
          <w:color w:val="2D3B45"/>
        </w:rPr>
        <w:t> (pp. 107-124).</w:t>
      </w:r>
    </w:p>
    <w:p w14:paraId="6239A3FD"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Tuesday, August 2, Class, Worksheet #5 due before class.</w:t>
      </w:r>
    </w:p>
    <w:p w14:paraId="5854FB7F"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Wednesday, August 3, Visit to Reims, depart Gare de l'Est 8:28 a.m.</w:t>
      </w:r>
    </w:p>
    <w:p w14:paraId="4F412821"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Thursday, August 4, Class</w:t>
      </w:r>
    </w:p>
    <w:p w14:paraId="11AD5089"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August 6, Papers due electronically via Canvas by 12:00 noon, Paris time.</w:t>
      </w:r>
    </w:p>
    <w:p w14:paraId="40F74361"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 </w:t>
      </w:r>
      <w:r>
        <w:rPr>
          <w:rStyle w:val="Strong"/>
          <w:rFonts w:ascii="Lato" w:hAnsi="Lato"/>
          <w:color w:val="2D3B45"/>
        </w:rPr>
        <w:t>Requirements:</w:t>
      </w:r>
    </w:p>
    <w:p w14:paraId="68E0AF23"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-reading of Christopher Wilson, </w:t>
      </w:r>
      <w:r>
        <w:rPr>
          <w:rStyle w:val="Emphasis"/>
          <w:rFonts w:ascii="Lato" w:hAnsi="Lato"/>
          <w:color w:val="2D3B45"/>
        </w:rPr>
        <w:t>The Gothic Cathedral</w:t>
      </w:r>
      <w:r>
        <w:rPr>
          <w:rFonts w:ascii="Lato" w:hAnsi="Lato"/>
          <w:color w:val="2D3B45"/>
        </w:rPr>
        <w:t>, pp. 1-178 (online).</w:t>
      </w:r>
    </w:p>
    <w:p w14:paraId="0EABB5D3"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-weekly reading.</w:t>
      </w:r>
    </w:p>
    <w:p w14:paraId="6C6B068A"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-weekly worksheets.</w:t>
      </w:r>
    </w:p>
    <w:p w14:paraId="60E6C063"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-class participation</w:t>
      </w:r>
    </w:p>
    <w:p w14:paraId="0F6F714E"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-paper (10-12 pages) on topic to be developed with instructor.</w:t>
      </w:r>
    </w:p>
    <w:p w14:paraId="415A80EC"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 </w:t>
      </w:r>
      <w:r>
        <w:rPr>
          <w:rStyle w:val="Strong"/>
          <w:rFonts w:ascii="Lato" w:hAnsi="Lato"/>
          <w:color w:val="2D3B45"/>
        </w:rPr>
        <w:t>Books and materials:</w:t>
      </w:r>
    </w:p>
    <w:p w14:paraId="4810B16E"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-“Principles and Elements of Medieval Religious Architecture” (Editions Fragile), to be distributed in Paris.</w:t>
      </w:r>
    </w:p>
    <w:p w14:paraId="43739EAE"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-Abbot Suger, </w:t>
      </w:r>
      <w:r>
        <w:rPr>
          <w:rStyle w:val="Emphasis"/>
          <w:rFonts w:ascii="Lato" w:hAnsi="Lato"/>
          <w:color w:val="2D3B45"/>
        </w:rPr>
        <w:t>What was Done under his Administration</w:t>
      </w:r>
      <w:r>
        <w:rPr>
          <w:rFonts w:ascii="Lato" w:hAnsi="Lato"/>
          <w:color w:val="2D3B45"/>
        </w:rPr>
        <w:t>, </w:t>
      </w:r>
      <w:r>
        <w:rPr>
          <w:rStyle w:val="Emphasis"/>
          <w:rFonts w:ascii="Lato" w:hAnsi="Lato"/>
          <w:color w:val="2D3B45"/>
        </w:rPr>
        <w:t>The Consecration of the Church of Saint-Denis</w:t>
      </w:r>
      <w:r>
        <w:rPr>
          <w:rFonts w:ascii="Lato" w:hAnsi="Lato"/>
          <w:color w:val="2D3B45"/>
        </w:rPr>
        <w:t>, ed. Erwin Panofsky (Princeton University Press).</w:t>
      </w:r>
    </w:p>
    <w:p w14:paraId="459B4B42"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-Abelard, </w:t>
      </w:r>
      <w:r>
        <w:rPr>
          <w:rStyle w:val="Emphasis"/>
          <w:rFonts w:ascii="Lato" w:hAnsi="Lato"/>
          <w:color w:val="2D3B45"/>
        </w:rPr>
        <w:t>History of my Misfortunes</w:t>
      </w:r>
      <w:r>
        <w:rPr>
          <w:rFonts w:ascii="Lato" w:hAnsi="Lato"/>
          <w:color w:val="2D3B45"/>
        </w:rPr>
        <w:t>, Abelard and Heloise, </w:t>
      </w:r>
      <w:r>
        <w:rPr>
          <w:rStyle w:val="Emphasis"/>
          <w:rFonts w:ascii="Lato" w:hAnsi="Lato"/>
          <w:color w:val="2D3B45"/>
        </w:rPr>
        <w:t>Personal Letters</w:t>
      </w:r>
      <w:r>
        <w:rPr>
          <w:rFonts w:ascii="Lato" w:hAnsi="Lato"/>
          <w:color w:val="2D3B45"/>
        </w:rPr>
        <w:t>, ed. Betty Radice (Penguin Classics).</w:t>
      </w:r>
    </w:p>
    <w:p w14:paraId="71A2F8D7"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-Adam d’Arras, “Play of Madness,” on line.</w:t>
      </w:r>
    </w:p>
    <w:p w14:paraId="14315674"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-Guibert de Nogent, </w:t>
      </w:r>
      <w:r>
        <w:rPr>
          <w:rStyle w:val="Emphasis"/>
          <w:rFonts w:ascii="Lato" w:hAnsi="Lato"/>
          <w:color w:val="2D3B45"/>
        </w:rPr>
        <w:t>Monodies</w:t>
      </w:r>
      <w:r>
        <w:rPr>
          <w:rFonts w:ascii="Lato" w:hAnsi="Lato"/>
          <w:color w:val="2D3B45"/>
        </w:rPr>
        <w:t> and </w:t>
      </w:r>
      <w:r>
        <w:rPr>
          <w:rStyle w:val="Emphasis"/>
          <w:rFonts w:ascii="Lato" w:hAnsi="Lato"/>
          <w:color w:val="2D3B45"/>
        </w:rPr>
        <w:t>On the Relics of Saints</w:t>
      </w:r>
      <w:r>
        <w:rPr>
          <w:rFonts w:ascii="Lato" w:hAnsi="Lato"/>
          <w:color w:val="2D3B45"/>
        </w:rPr>
        <w:t>, ed. Joseph Mcalhany and Jay Rubenstein (Penguin Classic).</w:t>
      </w:r>
    </w:p>
    <w:p w14:paraId="43CE6DD7"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-Jacques de Voragine, “Genealogy of Christ,” on line.</w:t>
      </w:r>
    </w:p>
    <w:p w14:paraId="6158B8CE"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-Marie de France, </w:t>
      </w:r>
      <w:r>
        <w:rPr>
          <w:rStyle w:val="Emphasis"/>
          <w:rFonts w:ascii="Lato" w:hAnsi="Lato"/>
          <w:color w:val="2D3B45"/>
        </w:rPr>
        <w:t>Fables</w:t>
      </w:r>
      <w:r>
        <w:rPr>
          <w:rFonts w:ascii="Lato" w:hAnsi="Lato"/>
          <w:color w:val="2D3B45"/>
        </w:rPr>
        <w:t>, on line; “Prologue” to the </w:t>
      </w:r>
      <w:r>
        <w:rPr>
          <w:rStyle w:val="Emphasis"/>
          <w:rFonts w:ascii="Lato" w:hAnsi="Lato"/>
          <w:color w:val="2D3B45"/>
        </w:rPr>
        <w:t>Lais</w:t>
      </w:r>
      <w:r>
        <w:rPr>
          <w:rFonts w:ascii="Lato" w:hAnsi="Lato"/>
          <w:color w:val="2D3B45"/>
        </w:rPr>
        <w:t> and lai of “Lanval,” on line.</w:t>
      </w:r>
    </w:p>
    <w:p w14:paraId="23B69FAA"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-Pseudo-Dionysius, </w:t>
      </w:r>
      <w:r>
        <w:rPr>
          <w:rStyle w:val="Emphasis"/>
          <w:rFonts w:ascii="Lato" w:hAnsi="Lato"/>
          <w:color w:val="2D3B45"/>
        </w:rPr>
        <w:t>Celestial Hierarchies</w:t>
      </w:r>
      <w:r>
        <w:rPr>
          <w:rFonts w:ascii="Lato" w:hAnsi="Lato"/>
          <w:color w:val="2D3B45"/>
        </w:rPr>
        <w:t>. on line.</w:t>
      </w:r>
    </w:p>
    <w:p w14:paraId="3017F4A8"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w:t>
      </w:r>
      <w:r>
        <w:rPr>
          <w:rStyle w:val="Emphasis"/>
          <w:rFonts w:ascii="Lato" w:hAnsi="Lato"/>
          <w:color w:val="2D3B45"/>
        </w:rPr>
        <w:t>Pseudo-Turpin</w:t>
      </w:r>
      <w:r>
        <w:rPr>
          <w:rFonts w:ascii="Lato" w:hAnsi="Lato"/>
          <w:color w:val="2D3B45"/>
        </w:rPr>
        <w:t>. on line.</w:t>
      </w:r>
    </w:p>
    <w:p w14:paraId="221197D7"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w:t>
      </w:r>
      <w:r>
        <w:rPr>
          <w:rStyle w:val="Emphasis"/>
          <w:rFonts w:ascii="Lato" w:hAnsi="Lato"/>
          <w:color w:val="2D3B45"/>
        </w:rPr>
        <w:t>Pilgrimage of Charlemagne to Jerusalem</w:t>
      </w:r>
      <w:r>
        <w:rPr>
          <w:rFonts w:ascii="Lato" w:hAnsi="Lato"/>
          <w:color w:val="2D3B45"/>
        </w:rPr>
        <w:t>. on line.</w:t>
      </w:r>
    </w:p>
    <w:p w14:paraId="17FADF89"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-Rutebeuf, “Miracle of Théophile” in Richard Axton and John E. Stevens, </w:t>
      </w:r>
      <w:r>
        <w:rPr>
          <w:rStyle w:val="Emphasis"/>
          <w:rFonts w:ascii="Lato" w:hAnsi="Lato"/>
          <w:color w:val="2D3B45"/>
        </w:rPr>
        <w:t>Medieval French Drama</w:t>
      </w:r>
      <w:r>
        <w:rPr>
          <w:rFonts w:ascii="Lato" w:hAnsi="Lato"/>
          <w:color w:val="2D3B45"/>
        </w:rPr>
        <w:t> (Oxford), pp. 167-92, on line.</w:t>
      </w:r>
    </w:p>
    <w:p w14:paraId="0E5E48BD"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-Jean le Marchand, “Miracles of Notre-Dame de Chartres,” on line. -Joinville, </w:t>
      </w:r>
      <w:r>
        <w:rPr>
          <w:rStyle w:val="Emphasis"/>
          <w:rFonts w:ascii="Lato" w:hAnsi="Lato"/>
          <w:color w:val="2D3B45"/>
        </w:rPr>
        <w:t>Life of Saint-Louis</w:t>
      </w:r>
      <w:r>
        <w:rPr>
          <w:rFonts w:ascii="Lato" w:hAnsi="Lato"/>
          <w:color w:val="2D3B45"/>
        </w:rPr>
        <w:t> in </w:t>
      </w:r>
      <w:r>
        <w:rPr>
          <w:rStyle w:val="Emphasis"/>
          <w:rFonts w:ascii="Lato" w:hAnsi="Lato"/>
          <w:color w:val="2D3B45"/>
        </w:rPr>
        <w:t>Chronicles of the Crusades</w:t>
      </w:r>
      <w:r>
        <w:rPr>
          <w:rFonts w:ascii="Lato" w:hAnsi="Lato"/>
          <w:color w:val="2D3B45"/>
        </w:rPr>
        <w:t>, ed. Caroline Smith (Penguin Classic).</w:t>
      </w:r>
    </w:p>
    <w:p w14:paraId="52193674"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-Thibaut de Champagne, selected lyrics, on line.</w:t>
      </w:r>
    </w:p>
    <w:p w14:paraId="2C4AD808"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-Selected fabliaux, on line.</w:t>
      </w:r>
    </w:p>
    <w:p w14:paraId="4E4E8738"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-Cistercian writings in Pauline Matarasso’s </w:t>
      </w:r>
      <w:r>
        <w:rPr>
          <w:rStyle w:val="Emphasis"/>
          <w:rFonts w:ascii="Lato" w:hAnsi="Lato"/>
          <w:color w:val="2D3B45"/>
        </w:rPr>
        <w:t>The Cistercian World. Monastic Writings of the Twelfth Century</w:t>
      </w:r>
      <w:r>
        <w:rPr>
          <w:rFonts w:ascii="Lato" w:hAnsi="Lato"/>
          <w:color w:val="2D3B45"/>
        </w:rPr>
        <w:t> (Penguin Classics).</w:t>
      </w:r>
    </w:p>
    <w:p w14:paraId="35A640CB"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w:t>
      </w:r>
      <w:r>
        <w:rPr>
          <w:rStyle w:val="Emphasis"/>
          <w:rFonts w:ascii="Lato" w:hAnsi="Lato"/>
          <w:color w:val="2D3B45"/>
        </w:rPr>
        <w:t>Queste for the Holy Grail</w:t>
      </w:r>
      <w:r>
        <w:rPr>
          <w:rFonts w:ascii="Lato" w:hAnsi="Lato"/>
          <w:color w:val="2D3B45"/>
        </w:rPr>
        <w:t>, tr. Pauline Matarasso (Penguin Classic).</w:t>
      </w:r>
    </w:p>
    <w:p w14:paraId="4610703B" w14:textId="77777777" w:rsidR="00F1471B" w:rsidRDefault="00F1471B" w:rsidP="00F1471B">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Trigger Warning:</w:t>
      </w:r>
    </w:p>
    <w:p w14:paraId="7FAE6205"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Human life, though not devoid of attractive and inspiring details, brilliant artistic achievement, and useful insights into the human condition, can at times be cruel, unfair, and violent. These qualities are reflected in great and enduring works of literature.</w:t>
      </w:r>
    </w:p>
    <w:p w14:paraId="5FF34ACF" w14:textId="77777777" w:rsidR="00F1471B" w:rsidRDefault="00F1471B" w:rsidP="00F1471B">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Statement on Academic Conduct</w:t>
      </w:r>
    </w:p>
    <w:p w14:paraId="1389BDBF" w14:textId="77777777" w:rsidR="00F1471B" w:rsidRDefault="00F1471B" w:rsidP="00F1471B">
      <w:pPr>
        <w:pStyle w:val="NormalWeb"/>
        <w:shd w:val="clear" w:color="auto" w:fill="FFFFFF"/>
        <w:spacing w:before="180" w:beforeAutospacing="0" w:after="180" w:afterAutospacing="0"/>
        <w:rPr>
          <w:rFonts w:ascii="Lato" w:hAnsi="Lato"/>
          <w:color w:val="2D3B45"/>
        </w:rPr>
      </w:pPr>
      <w:r>
        <w:rPr>
          <w:rFonts w:ascii="Lato" w:hAnsi="Lato"/>
          <w:color w:val="2D3B45"/>
        </w:rPr>
        <w:t xml:space="preserve">"You must document all of your source material. If you take any text from somebody else, you must make it clear the text is being quoted and where the text comes from. You must also cite any sources from which you obtain numbers, ideas, or other material. </w:t>
      </w:r>
      <w:r>
        <w:rPr>
          <w:rFonts w:ascii="Lato" w:hAnsi="Lato"/>
          <w:color w:val="2D3B45"/>
        </w:rPr>
        <w:lastRenderedPageBreak/>
        <w:t>If you have any questions about what does or does not constitute plagiarism, ask! Plagiarism is a serious offense and will not be treated lightly. Fortunately, it is also easy to avoid and if you are the least bit careful about giving credit where credit is due you should not run into any problems."</w:t>
      </w:r>
    </w:p>
    <w:p w14:paraId="021B7CBC" w14:textId="77777777" w:rsidR="00073839" w:rsidRDefault="00073839"/>
    <w:sectPr w:rsidR="0007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1B"/>
    <w:rsid w:val="00073839"/>
    <w:rsid w:val="00F1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D667"/>
  <w15:chartTrackingRefBased/>
  <w15:docId w15:val="{1D3E9B32-5B3E-4245-8725-68F42AA6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7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71B"/>
    <w:rPr>
      <w:b/>
      <w:bCs/>
    </w:rPr>
  </w:style>
  <w:style w:type="character" w:styleId="Emphasis">
    <w:name w:val="Emphasis"/>
    <w:basedOn w:val="DefaultParagraphFont"/>
    <w:uiPriority w:val="20"/>
    <w:qFormat/>
    <w:rsid w:val="00F14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Bloch, R Howard</dc:creator>
  <cp:keywords/>
  <dc:description/>
  <cp:lastModifiedBy>Bloch, R Howard</cp:lastModifiedBy>
  <cp:revision>1</cp:revision>
  <dcterms:created xsi:type="dcterms:W3CDTF">2022-11-02T18:02:00Z</dcterms:created>
  <dcterms:modified xsi:type="dcterms:W3CDTF">2022-11-02T18:03:00Z</dcterms:modified>
</cp:coreProperties>
</file>